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4FB8F" w14:textId="2C1FE5B7" w:rsidR="00F85E88" w:rsidRPr="00E05ADB" w:rsidRDefault="005D4DDB" w:rsidP="00341657">
      <w:pPr>
        <w:pStyle w:val="Heading2"/>
        <w:widowControl w:val="0"/>
        <w:spacing w:before="0" w:line="240" w:lineRule="auto"/>
        <w:jc w:val="center"/>
        <w:rPr>
          <w:rFonts w:ascii="Arial" w:hAnsi="Arial" w:cs="Arial"/>
        </w:rPr>
      </w:pPr>
      <w:r w:rsidRPr="007C590F">
        <w:rPr>
          <w:rFonts w:ascii="Arial" w:hAnsi="Arial" w:cs="Arial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91005" wp14:editId="1908238F">
                <wp:simplePos x="0" y="0"/>
                <wp:positionH relativeFrom="column">
                  <wp:posOffset>400050</wp:posOffset>
                </wp:positionH>
                <wp:positionV relativeFrom="paragraph">
                  <wp:posOffset>348615</wp:posOffset>
                </wp:positionV>
                <wp:extent cx="6172200" cy="2514600"/>
                <wp:effectExtent l="19050" t="19050" r="19050" b="19050"/>
                <wp:wrapTight wrapText="bothSides">
                  <wp:wrapPolygon edited="0">
                    <wp:start x="-67" y="-164"/>
                    <wp:lineTo x="-67" y="21600"/>
                    <wp:lineTo x="21600" y="21600"/>
                    <wp:lineTo x="21600" y="-164"/>
                    <wp:lineTo x="-67" y="-16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9A37" w14:textId="0DDD6817" w:rsidR="007C590F" w:rsidRDefault="00AC3998" w:rsidP="005D4D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E08BA" wp14:editId="40B17713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E30A5" w14:textId="77777777" w:rsidR="007C590F" w:rsidRDefault="007C590F" w:rsidP="005D4D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83BC6B" w14:textId="020608D9" w:rsidR="00AC22AC" w:rsidRDefault="005D4DDB" w:rsidP="005D4D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059BCA31" w14:textId="5079BA2A" w:rsidR="00730202" w:rsidRDefault="00415C25" w:rsidP="005D4DD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Required for c</w:t>
                            </w:r>
                            <w:r w:rsidR="005D4DDB">
                              <w:rPr>
                                <w:rFonts w:ascii="Arial" w:hAnsi="Arial" w:cs="Arial"/>
                                <w:i/>
                              </w:rPr>
                              <w:t xml:space="preserve">linical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 w:rsidR="005D4DDB">
                              <w:rPr>
                                <w:rFonts w:ascii="Arial" w:hAnsi="Arial" w:cs="Arial"/>
                                <w:i/>
                              </w:rPr>
                              <w:t>rials only</w:t>
                            </w:r>
                          </w:p>
                          <w:p w14:paraId="0D5DD703" w14:textId="345EC4CD" w:rsidR="005D4DDB" w:rsidRPr="00415C25" w:rsidRDefault="005D4DDB" w:rsidP="00C80780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15C2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: Drop Down List. M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>ust select one of the following (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Early Phase I (Phase 0)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Phase 1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Phase 1 / 2,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Phase 2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Phase 2 /3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Phase 3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Phase 4</w:t>
                            </w:r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, and </w:t>
                            </w: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Other</w:t>
                            </w:r>
                            <w:r w:rsidR="00415C25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  <w:p w14:paraId="37C518DF" w14:textId="057C087A" w:rsidR="005D4DDB" w:rsidRPr="00415C25" w:rsidRDefault="005D4DDB" w:rsidP="005D4DD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15C25">
                              <w:rPr>
                                <w:rFonts w:ascii="Arial" w:hAnsi="Arial" w:cs="Arial"/>
                                <w:i/>
                              </w:rPr>
                              <w:t>References</w:t>
                            </w:r>
                          </w:p>
                          <w:p w14:paraId="025DE6A6" w14:textId="69B3F9B5" w:rsidR="005D4DDB" w:rsidRPr="00415C25" w:rsidRDefault="00AC3998" w:rsidP="005D4DDB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r:id="rId9" w:history="1">
                              <w:r w:rsidR="005D4DDB" w:rsidRPr="00415C25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https://clinicaltrials.gov/ct2/about-studies/glossary</w:t>
                              </w:r>
                            </w:hyperlink>
                            <w:r w:rsidR="005D4DDB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75637EF5" w14:textId="77777777" w:rsidR="00121B17" w:rsidRPr="00415C25" w:rsidRDefault="00AC3998" w:rsidP="005D4DDB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color w:val="auto"/>
                                <w:u w:val="none"/>
                              </w:rPr>
                            </w:pPr>
                            <w:hyperlink r:id="rId10" w:history="1">
                              <w:r w:rsidR="005D4DDB" w:rsidRPr="00415C25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https://www.cancer.gov/publications/dictionaries/cancer-terms?cdrid=45832</w:t>
                              </w:r>
                            </w:hyperlink>
                          </w:p>
                          <w:p w14:paraId="387F7F14" w14:textId="545C2047" w:rsidR="005D4DDB" w:rsidRPr="00415C25" w:rsidRDefault="00AC3998" w:rsidP="00121B17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hyperlink r:id="rId11" w:anchor="StudyPhase" w:history="1">
                              <w:r w:rsidR="00415C25" w:rsidRPr="00415C25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https://prsinfo.clinicaltrials.gov/definitions.html#StudyPhase</w:t>
                              </w:r>
                            </w:hyperlink>
                            <w:r w:rsidR="00415C25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5D4DDB" w:rsidRPr="00415C2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7F7CC5B9" w14:textId="77777777" w:rsidR="005D4DDB" w:rsidRPr="00415C25" w:rsidRDefault="005D4DDB" w:rsidP="005D4D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EC67A63" w14:textId="4B04EAAD" w:rsidR="005D4DDB" w:rsidRPr="005D4DDB" w:rsidRDefault="005D4DDB" w:rsidP="005D4D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Clinical Trial </w:t>
                            </w:r>
                            <w:r w:rsidR="00415C25">
                              <w:rPr>
                                <w:rFonts w:ascii="Arial" w:hAnsi="Arial" w:cs="Arial"/>
                                <w:i/>
                              </w:rPr>
                              <w:t>Study Phase Definitions are described b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91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pt;margin-top:27.45pt;width:486pt;height:1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B3KgIAAFIEAAAOAAAAZHJzL2Uyb0RvYy54bWysVNuO0zAQfUfiHyy/0zRVL0vUdLV0KUJa&#10;FqRdPsBxnMTC9hjbbVK+nrHTLRHwhMiD5fGMj2fOmcn2dtCKnITzEkxJ89mcEmE41NK0Jf36fHhz&#10;Q4kPzNRMgRElPQtPb3evX217W4gFdKBq4QiCGF/0tqRdCLbIMs87oZmfgRUGnQ04zQKars1qx3pE&#10;1ypbzOfrrAdXWwdceI+n96OT7hJ+0wgePjeNF4GokmJuIa0urVVcs92WFa1jtpP8kgb7hyw0kwYf&#10;vULds8DI0ck/oLTkDjw0YcZBZ9A0kotUA1aTz3+r5qljVqRakBxvrzT5/wfLH09fHJE1akeJYRol&#10;ehZDIO9gIHlkp7e+wKAni2FhwOMYGSv19gH4N08M7DtmWnHnHPSdYDVml25mk6sjjo8gVf8JanyG&#10;HQMkoKFxOgIiGQTRUaXzVZmYCsfDdb5ZoNyUcPQtVvlyjQZml7Hi5bp1PnwQoEnclNSh9AmenR58&#10;GENfQlL6oGR9kEolw7XVXjlyYtgmh/Rd0P00TBnS4/M3q81qpGDq9FOMefr+hqFlwIZXUpf05hrE&#10;ikjce1OndgxMqnGP5SmDVUYmI3kjjWGohosyFdRn5NTB2Ng4iLjpwP2gpMemLqn/fmROUKI+GtTl&#10;bb5cxilIxnK1WaDhpp5q6mGGI1RJAyXjdh/GyTlaJ9sOXxo7wcAdatnIxHJMdczqkjc2btLpMmRx&#10;MqZ2ivr1K9j9BAAA//8DAFBLAwQUAAYACAAAACEA1L9tYuAAAAAKAQAADwAAAGRycy9kb3ducmV2&#10;LnhtbEyPwW7CMBBE75X6D9ZW6q3YLSSUNA5CLRUHDlUJH7CJt0kgtiPbQPr3mFN7nJ3VzJt8Oeqe&#10;ncn5zhoJzxMBjExtVWcaCfvy8+kVmA9oFPbWkIRf8rAs7u9yzJS9mG8670LDYojxGUpoQxgyzn3d&#10;kkY/sQOZ6P1YpzFE6RquHF5iuO75ixAp19iZ2NDiQO8t1cfdSUs4UFU229XWlV/z9GO9wfVxfthL&#10;+fgwrt6ABRrD3zPc8CM6FJGpsiejPOslpNM4JUhIZgtgN19Mk3ipJMwSsQBe5Pz/hOIKAAD//wMA&#10;UEsBAi0AFAAGAAgAAAAhALaDOJL+AAAA4QEAABMAAAAAAAAAAAAAAAAAAAAAAFtDb250ZW50X1R5&#10;cGVzXS54bWxQSwECLQAUAAYACAAAACEAOP0h/9YAAACUAQAACwAAAAAAAAAAAAAAAAAvAQAAX3Jl&#10;bHMvLnJlbHNQSwECLQAUAAYACAAAACEAWlRAdyoCAABSBAAADgAAAAAAAAAAAAAAAAAuAgAAZHJz&#10;L2Uyb0RvYy54bWxQSwECLQAUAAYACAAAACEA1L9tYuAAAAAKAQAADwAAAAAAAAAAAAAAAACEBAAA&#10;ZHJzL2Rvd25yZXYueG1sUEsFBgAAAAAEAAQA8wAAAJEFAAAAAA==&#10;" strokeweight="2.25pt">
                <v:textbox>
                  <w:txbxContent>
                    <w:p w14:paraId="37819A37" w14:textId="0DDD6817" w:rsidR="007C590F" w:rsidRDefault="00AC3998" w:rsidP="005D4D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4E08BA" wp14:editId="40B17713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E30A5" w14:textId="77777777" w:rsidR="007C590F" w:rsidRDefault="007C590F" w:rsidP="005D4D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83BC6B" w14:textId="020608D9" w:rsidR="00AC22AC" w:rsidRDefault="005D4DDB" w:rsidP="005D4D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059BCA31" w14:textId="5079BA2A" w:rsidR="00730202" w:rsidRDefault="00415C25" w:rsidP="005D4DD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Required for c</w:t>
                      </w:r>
                      <w:r w:rsidR="005D4DDB">
                        <w:rPr>
                          <w:rFonts w:ascii="Arial" w:hAnsi="Arial" w:cs="Arial"/>
                          <w:i/>
                        </w:rPr>
                        <w:t xml:space="preserve">linical </w:t>
                      </w:r>
                      <w:r>
                        <w:rPr>
                          <w:rFonts w:ascii="Arial" w:hAnsi="Arial" w:cs="Arial"/>
                          <w:i/>
                        </w:rPr>
                        <w:t>t</w:t>
                      </w:r>
                      <w:r w:rsidR="005D4DDB">
                        <w:rPr>
                          <w:rFonts w:ascii="Arial" w:hAnsi="Arial" w:cs="Arial"/>
                          <w:i/>
                        </w:rPr>
                        <w:t>rials only</w:t>
                      </w:r>
                    </w:p>
                    <w:p w14:paraId="0D5DD703" w14:textId="345EC4CD" w:rsidR="005D4DDB" w:rsidRPr="00415C25" w:rsidRDefault="005D4DDB" w:rsidP="00C80780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415C25">
                        <w:rPr>
                          <w:rFonts w:ascii="Arial" w:hAnsi="Arial" w:cs="Arial"/>
                          <w:b/>
                          <w:i/>
                        </w:rPr>
                        <w:t>Format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: Drop Down List. M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>ust select one of the following (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Early Phase I (Phase 0)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Phase 1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Phase 1 / 2,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Phase 2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Phase 2 /3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Phase 3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Phase 4</w:t>
                      </w:r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, and </w:t>
                      </w:r>
                      <w:r w:rsidRPr="00415C25">
                        <w:rPr>
                          <w:rFonts w:ascii="Arial" w:hAnsi="Arial" w:cs="Arial"/>
                          <w:i/>
                        </w:rPr>
                        <w:t>Other</w:t>
                      </w:r>
                      <w:r w:rsidR="00415C25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  <w:p w14:paraId="37C518DF" w14:textId="057C087A" w:rsidR="005D4DDB" w:rsidRPr="00415C25" w:rsidRDefault="005D4DDB" w:rsidP="005D4DD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415C25">
                        <w:rPr>
                          <w:rFonts w:ascii="Arial" w:hAnsi="Arial" w:cs="Arial"/>
                          <w:i/>
                        </w:rPr>
                        <w:t>References</w:t>
                      </w:r>
                    </w:p>
                    <w:p w14:paraId="025DE6A6" w14:textId="69B3F9B5" w:rsidR="005D4DDB" w:rsidRPr="00415C25" w:rsidRDefault="00AC3998" w:rsidP="005D4DDB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r:id="rId12" w:history="1">
                        <w:r w:rsidR="005D4DDB" w:rsidRPr="00415C25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https://clinicaltrials.gov/ct2/about-studies/glossary</w:t>
                        </w:r>
                      </w:hyperlink>
                      <w:r w:rsidR="005D4DDB" w:rsidRPr="00415C25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75637EF5" w14:textId="77777777" w:rsidR="00121B17" w:rsidRPr="00415C25" w:rsidRDefault="00AC3998" w:rsidP="005D4DDB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i/>
                          <w:color w:val="auto"/>
                          <w:u w:val="none"/>
                        </w:rPr>
                      </w:pPr>
                      <w:hyperlink r:id="rId13" w:history="1">
                        <w:r w:rsidR="005D4DDB" w:rsidRPr="00415C25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https://www.cancer.gov/publications/dictionaries/cancer-terms?cdrid=45832</w:t>
                        </w:r>
                      </w:hyperlink>
                    </w:p>
                    <w:p w14:paraId="387F7F14" w14:textId="545C2047" w:rsidR="005D4DDB" w:rsidRPr="00415C25" w:rsidRDefault="00AC3998" w:rsidP="00121B17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hyperlink r:id="rId14" w:anchor="StudyPhase" w:history="1">
                        <w:r w:rsidR="00415C25" w:rsidRPr="00415C25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https://prsinfo.clinicaltrials.gov/definitions.html#StudyPhase</w:t>
                        </w:r>
                      </w:hyperlink>
                      <w:r w:rsidR="00415C25" w:rsidRPr="00415C25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5D4DDB" w:rsidRPr="00415C25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7F7CC5B9" w14:textId="77777777" w:rsidR="005D4DDB" w:rsidRPr="00415C25" w:rsidRDefault="005D4DDB" w:rsidP="005D4DDB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EC67A63" w14:textId="4B04EAAD" w:rsidR="005D4DDB" w:rsidRPr="005D4DDB" w:rsidRDefault="005D4DDB" w:rsidP="005D4DDB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Clinical Trial </w:t>
                      </w:r>
                      <w:r w:rsidR="00415C25">
                        <w:rPr>
                          <w:rFonts w:ascii="Arial" w:hAnsi="Arial" w:cs="Arial"/>
                          <w:i/>
                        </w:rPr>
                        <w:t>Study Phase Definitions are described b</w:t>
                      </w:r>
                      <w:r>
                        <w:rPr>
                          <w:rFonts w:ascii="Arial" w:hAnsi="Arial" w:cs="Arial"/>
                          <w:i/>
                        </w:rPr>
                        <w:t>elow.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202" w:rsidRPr="007C590F">
        <w:rPr>
          <w:rFonts w:ascii="Arial" w:hAnsi="Arial" w:cs="Arial"/>
          <w:smallCaps/>
          <w:sz w:val="28"/>
        </w:rPr>
        <w:t>4.</w:t>
      </w:r>
      <w:r w:rsidR="00316FD7">
        <w:rPr>
          <w:rFonts w:ascii="Arial" w:hAnsi="Arial" w:cs="Arial"/>
          <w:smallCaps/>
          <w:sz w:val="28"/>
        </w:rPr>
        <w:t>1</w:t>
      </w:r>
      <w:r w:rsidR="00730202" w:rsidRPr="007C590F">
        <w:rPr>
          <w:rFonts w:ascii="Arial" w:hAnsi="Arial" w:cs="Arial"/>
          <w:smallCaps/>
          <w:sz w:val="28"/>
        </w:rPr>
        <w:t>.d</w:t>
      </w:r>
      <w:r w:rsidR="001D7F76" w:rsidRPr="007C590F">
        <w:rPr>
          <w:rFonts w:ascii="Arial" w:hAnsi="Arial" w:cs="Arial"/>
          <w:smallCaps/>
          <w:sz w:val="28"/>
        </w:rPr>
        <w:t xml:space="preserve"> </w:t>
      </w:r>
      <w:r w:rsidR="00730202" w:rsidRPr="007C590F">
        <w:rPr>
          <w:rFonts w:ascii="Arial" w:hAnsi="Arial" w:cs="Arial"/>
          <w:smallCaps/>
          <w:sz w:val="28"/>
        </w:rPr>
        <w:t>Study Phase</w:t>
      </w:r>
    </w:p>
    <w:p w14:paraId="6551B86E" w14:textId="77777777" w:rsidR="009663A4" w:rsidRPr="005D4DDB" w:rsidRDefault="009663A4" w:rsidP="00415C25">
      <w:pPr>
        <w:pStyle w:val="Heading2"/>
        <w:spacing w:before="120" w:after="120"/>
        <w:rPr>
          <w:rFonts w:ascii="Arial" w:eastAsia="Times New Roman" w:hAnsi="Arial" w:cs="Arial"/>
          <w:b w:val="0"/>
          <w:sz w:val="28"/>
        </w:rPr>
      </w:pPr>
      <w:r w:rsidRPr="005D4DDB">
        <w:rPr>
          <w:rFonts w:ascii="Arial" w:eastAsia="Times New Roman" w:hAnsi="Arial" w:cs="Arial"/>
          <w:sz w:val="28"/>
        </w:rPr>
        <w:t>Definitions:</w:t>
      </w:r>
    </w:p>
    <w:p w14:paraId="0B1D4508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</w:t>
      </w:r>
    </w:p>
    <w:p w14:paraId="7CEDFB0D" w14:textId="314A78A7" w:rsidR="009663A4" w:rsidRP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The stage of a clinical trial studying a drug or biological product, based on definitions developed by the </w:t>
      </w:r>
      <w:r w:rsidRPr="009663A4">
        <w:rPr>
          <w:rFonts w:ascii="Arial" w:eastAsia="Times New Roman" w:hAnsi="Arial" w:cs="Arial"/>
        </w:rPr>
        <w:t>Food and Drug Administration (FDA)</w:t>
      </w:r>
      <w:r w:rsidRPr="002756EB">
        <w:rPr>
          <w:rFonts w:ascii="Arial" w:eastAsia="Times New Roman" w:hAnsi="Arial" w:cs="Arial"/>
        </w:rPr>
        <w:t xml:space="preserve">. The phase is based on the study's objective, the number of participants, and other characteristics. There are five phases: </w:t>
      </w:r>
      <w:r w:rsidRPr="009663A4">
        <w:rPr>
          <w:rFonts w:ascii="Arial" w:eastAsia="Times New Roman" w:hAnsi="Arial" w:cs="Arial"/>
        </w:rPr>
        <w:t>Early Phase 1 (formerly listed as Phase 0)</w:t>
      </w:r>
      <w:r w:rsidRPr="002756EB">
        <w:rPr>
          <w:rFonts w:ascii="Arial" w:eastAsia="Times New Roman" w:hAnsi="Arial" w:cs="Arial"/>
        </w:rPr>
        <w:t xml:space="preserve">, </w:t>
      </w:r>
      <w:r w:rsidRPr="009663A4">
        <w:rPr>
          <w:rFonts w:ascii="Arial" w:eastAsia="Times New Roman" w:hAnsi="Arial" w:cs="Arial"/>
        </w:rPr>
        <w:t>Phase 1</w:t>
      </w:r>
      <w:r w:rsidRPr="002756EB">
        <w:rPr>
          <w:rFonts w:ascii="Arial" w:eastAsia="Times New Roman" w:hAnsi="Arial" w:cs="Arial"/>
        </w:rPr>
        <w:t xml:space="preserve">, </w:t>
      </w:r>
      <w:r w:rsidRPr="009663A4">
        <w:rPr>
          <w:rFonts w:ascii="Arial" w:eastAsia="Times New Roman" w:hAnsi="Arial" w:cs="Arial"/>
        </w:rPr>
        <w:t>Phase 2</w:t>
      </w:r>
      <w:r w:rsidRPr="002756EB">
        <w:rPr>
          <w:rFonts w:ascii="Arial" w:eastAsia="Times New Roman" w:hAnsi="Arial" w:cs="Arial"/>
        </w:rPr>
        <w:t xml:space="preserve">, </w:t>
      </w:r>
      <w:r w:rsidRPr="009663A4">
        <w:rPr>
          <w:rFonts w:ascii="Arial" w:eastAsia="Times New Roman" w:hAnsi="Arial" w:cs="Arial"/>
        </w:rPr>
        <w:t>Phase 3</w:t>
      </w:r>
      <w:r w:rsidRPr="002756EB">
        <w:rPr>
          <w:rFonts w:ascii="Arial" w:eastAsia="Times New Roman" w:hAnsi="Arial" w:cs="Arial"/>
        </w:rPr>
        <w:t xml:space="preserve">, and </w:t>
      </w:r>
      <w:r w:rsidRPr="009663A4">
        <w:rPr>
          <w:rFonts w:ascii="Arial" w:eastAsia="Times New Roman" w:hAnsi="Arial" w:cs="Arial"/>
        </w:rPr>
        <w:t>Phase 4</w:t>
      </w:r>
      <w:r w:rsidRPr="002756EB">
        <w:rPr>
          <w:rFonts w:ascii="Arial" w:eastAsia="Times New Roman" w:hAnsi="Arial" w:cs="Arial"/>
        </w:rPr>
        <w:t xml:space="preserve">. </w:t>
      </w:r>
    </w:p>
    <w:p w14:paraId="7AC6E0AF" w14:textId="77777777" w:rsidR="00B01DA5" w:rsidRDefault="00B01DA5" w:rsidP="00B01DA5">
      <w:pPr>
        <w:spacing w:after="0" w:line="240" w:lineRule="auto"/>
        <w:rPr>
          <w:rFonts w:ascii="Arial" w:eastAsia="Times New Roman" w:hAnsi="Arial" w:cs="Arial"/>
        </w:rPr>
      </w:pPr>
    </w:p>
    <w:p w14:paraId="33E7678A" w14:textId="6CFBC2DA" w:rsidR="009663A4" w:rsidRPr="00B01DA5" w:rsidRDefault="009663A4" w:rsidP="00B01DA5">
      <w:pPr>
        <w:spacing w:after="0" w:line="240" w:lineRule="auto"/>
        <w:rPr>
          <w:rFonts w:ascii="Arial" w:eastAsia="Times New Roman" w:hAnsi="Arial" w:cs="Arial"/>
        </w:rPr>
      </w:pPr>
      <w:r w:rsidRPr="005D4DDB">
        <w:rPr>
          <w:rFonts w:ascii="Arial" w:eastAsia="Times New Roman" w:hAnsi="Arial" w:cs="Arial"/>
          <w:b/>
        </w:rPr>
        <w:t>Early Phase 1 (</w:t>
      </w:r>
      <w:r w:rsidR="00316FD7">
        <w:rPr>
          <w:rFonts w:ascii="Arial" w:eastAsia="Times New Roman" w:hAnsi="Arial" w:cs="Arial"/>
          <w:b/>
        </w:rPr>
        <w:t>or</w:t>
      </w:r>
      <w:r w:rsidRPr="005D4DDB">
        <w:rPr>
          <w:rFonts w:ascii="Arial" w:eastAsia="Times New Roman" w:hAnsi="Arial" w:cs="Arial"/>
          <w:b/>
        </w:rPr>
        <w:t xml:space="preserve"> Phase 0)</w:t>
      </w:r>
    </w:p>
    <w:p w14:paraId="4F7BDA52" w14:textId="77777777" w:rsidR="009663A4" w:rsidRPr="002756EB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A </w:t>
      </w:r>
      <w:r w:rsidRPr="009663A4">
        <w:rPr>
          <w:rFonts w:ascii="Arial" w:eastAsia="Times New Roman" w:hAnsi="Arial" w:cs="Arial"/>
        </w:rPr>
        <w:t>phase</w:t>
      </w:r>
      <w:r w:rsidRPr="002756EB">
        <w:rPr>
          <w:rFonts w:ascii="Arial" w:eastAsia="Times New Roman" w:hAnsi="Arial" w:cs="Arial"/>
        </w:rPr>
        <w:t xml:space="preserve"> of research used to describe exploratory trials conducted before traditional </w:t>
      </w:r>
      <w:r w:rsidRPr="009663A4">
        <w:rPr>
          <w:rFonts w:ascii="Arial" w:eastAsia="Times New Roman" w:hAnsi="Arial" w:cs="Arial"/>
        </w:rPr>
        <w:t>phase 1</w:t>
      </w:r>
      <w:r w:rsidRPr="002756EB">
        <w:rPr>
          <w:rFonts w:ascii="Arial" w:eastAsia="Times New Roman" w:hAnsi="Arial" w:cs="Arial"/>
        </w:rPr>
        <w:t xml:space="preserve"> trials to investigate how or whether a drug affects the body. They involve </w:t>
      </w:r>
      <w:proofErr w:type="gramStart"/>
      <w:r w:rsidRPr="002756EB">
        <w:rPr>
          <w:rFonts w:ascii="Arial" w:eastAsia="Times New Roman" w:hAnsi="Arial" w:cs="Arial"/>
        </w:rPr>
        <w:t>very limited</w:t>
      </w:r>
      <w:proofErr w:type="gramEnd"/>
      <w:r w:rsidRPr="002756EB">
        <w:rPr>
          <w:rFonts w:ascii="Arial" w:eastAsia="Times New Roman" w:hAnsi="Arial" w:cs="Arial"/>
        </w:rPr>
        <w:t xml:space="preserve"> human exposure to the drug and have no therapeutic or diagnostic goals (for example, screening studies, </w:t>
      </w:r>
      <w:proofErr w:type="spellStart"/>
      <w:r w:rsidRPr="002756EB">
        <w:rPr>
          <w:rFonts w:ascii="Arial" w:eastAsia="Times New Roman" w:hAnsi="Arial" w:cs="Arial"/>
        </w:rPr>
        <w:t>microdose</w:t>
      </w:r>
      <w:proofErr w:type="spellEnd"/>
      <w:r w:rsidRPr="002756EB">
        <w:rPr>
          <w:rFonts w:ascii="Arial" w:eastAsia="Times New Roman" w:hAnsi="Arial" w:cs="Arial"/>
        </w:rPr>
        <w:t xml:space="preserve"> studies).</w:t>
      </w:r>
    </w:p>
    <w:p w14:paraId="5D7356AD" w14:textId="77777777" w:rsidR="009663A4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</w:p>
    <w:p w14:paraId="2CD1115A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1</w:t>
      </w:r>
    </w:p>
    <w:p w14:paraId="6B936FC0" w14:textId="77777777" w:rsidR="009663A4" w:rsidRP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A </w:t>
      </w:r>
      <w:r w:rsidRPr="009663A4">
        <w:rPr>
          <w:rFonts w:ascii="Arial" w:eastAsia="Times New Roman" w:hAnsi="Arial" w:cs="Arial"/>
        </w:rPr>
        <w:t>phase</w:t>
      </w:r>
      <w:r w:rsidRPr="002756EB">
        <w:rPr>
          <w:rFonts w:ascii="Arial" w:eastAsia="Times New Roman" w:hAnsi="Arial" w:cs="Arial"/>
        </w:rPr>
        <w:t xml:space="preserve"> of research to describe clinical trials that focus on the safety of a drug. They are usually conducted with healthy volunteers, and the goal is to determine the drug's most frequent and </w:t>
      </w:r>
      <w:r w:rsidRPr="009663A4">
        <w:rPr>
          <w:rFonts w:ascii="Arial" w:eastAsia="Times New Roman" w:hAnsi="Arial" w:cs="Arial"/>
        </w:rPr>
        <w:t>serious adverse events</w:t>
      </w:r>
      <w:r w:rsidRPr="002756EB">
        <w:rPr>
          <w:rFonts w:ascii="Arial" w:eastAsia="Times New Roman" w:hAnsi="Arial" w:cs="Arial"/>
        </w:rPr>
        <w:t xml:space="preserve"> and, often, how the drug is broken down and excreted by the body. These trials usually involve a small number of participants.</w:t>
      </w:r>
    </w:p>
    <w:p w14:paraId="12331296" w14:textId="77777777" w:rsidR="009663A4" w:rsidRPr="009663A4" w:rsidRDefault="009663A4" w:rsidP="009663A4">
      <w:pPr>
        <w:spacing w:after="0" w:line="240" w:lineRule="auto"/>
        <w:rPr>
          <w:rFonts w:ascii="Arial" w:eastAsia="Times New Roman" w:hAnsi="Arial" w:cs="Arial"/>
        </w:rPr>
      </w:pPr>
    </w:p>
    <w:p w14:paraId="4C5CC574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1/2</w:t>
      </w:r>
    </w:p>
    <w:p w14:paraId="1E0FDF7D" w14:textId="77777777" w:rsidR="009663A4" w:rsidRPr="009663A4" w:rsidRDefault="009663A4" w:rsidP="009663A4">
      <w:pPr>
        <w:spacing w:after="0" w:line="240" w:lineRule="auto"/>
        <w:ind w:left="720"/>
        <w:rPr>
          <w:rFonts w:ascii="Arial" w:hAnsi="Arial" w:cs="Arial"/>
        </w:rPr>
      </w:pPr>
      <w:r w:rsidRPr="009663A4">
        <w:rPr>
          <w:rFonts w:ascii="Arial" w:hAnsi="Arial" w:cs="Arial"/>
        </w:rPr>
        <w:t>A study that tests the safety, side effects, and best dose of a new treatment. Phase I/II clinical trials also test how well a certain type of cancer or other disease responds to a new treatment. In the phase II part of the clinical trial, patients usually receive the highest dose of treatment that did not cause harmful side effects in the phase I part of the clinical trial. Combining phases I and II may allow research questions to be answered more quickly or with fewer patients.</w:t>
      </w:r>
    </w:p>
    <w:p w14:paraId="61FD8AE9" w14:textId="77777777" w:rsidR="009663A4" w:rsidRPr="002756EB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56C6F7F1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2</w:t>
      </w:r>
    </w:p>
    <w:p w14:paraId="10C370C3" w14:textId="55E81058" w:rsidR="009663A4" w:rsidRPr="009663A4" w:rsidRDefault="009663A4" w:rsidP="00A946A7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A </w:t>
      </w:r>
      <w:r w:rsidRPr="009663A4">
        <w:rPr>
          <w:rFonts w:ascii="Arial" w:eastAsia="Times New Roman" w:hAnsi="Arial" w:cs="Arial"/>
        </w:rPr>
        <w:t>phase</w:t>
      </w:r>
      <w:r w:rsidRPr="002756EB">
        <w:rPr>
          <w:rFonts w:ascii="Arial" w:eastAsia="Times New Roman" w:hAnsi="Arial" w:cs="Arial"/>
        </w:rPr>
        <w:t xml:space="preserve"> of research to describe clinical trials that gather preliminary data on whether a drug works in people who have a certain </w:t>
      </w:r>
      <w:r w:rsidRPr="009663A4">
        <w:rPr>
          <w:rFonts w:ascii="Arial" w:eastAsia="Times New Roman" w:hAnsi="Arial" w:cs="Arial"/>
        </w:rPr>
        <w:t>condition/disease</w:t>
      </w:r>
      <w:r w:rsidRPr="002756EB">
        <w:rPr>
          <w:rFonts w:ascii="Arial" w:eastAsia="Times New Roman" w:hAnsi="Arial" w:cs="Arial"/>
        </w:rPr>
        <w:t xml:space="preserve"> (that is, the drug's effectiveness). For example, participants receiving the drug may be compared to similar participants receiving a different treatment, usually an inactive substance (called a </w:t>
      </w:r>
      <w:r w:rsidRPr="009663A4">
        <w:rPr>
          <w:rFonts w:ascii="Arial" w:eastAsia="Times New Roman" w:hAnsi="Arial" w:cs="Arial"/>
        </w:rPr>
        <w:t>placebo</w:t>
      </w:r>
      <w:r w:rsidRPr="002756EB">
        <w:rPr>
          <w:rFonts w:ascii="Arial" w:eastAsia="Times New Roman" w:hAnsi="Arial" w:cs="Arial"/>
        </w:rPr>
        <w:t xml:space="preserve">) or a different drug. Safety continues to be evaluated, and short-term </w:t>
      </w:r>
      <w:r w:rsidRPr="009663A4">
        <w:rPr>
          <w:rFonts w:ascii="Arial" w:eastAsia="Times New Roman" w:hAnsi="Arial" w:cs="Arial"/>
        </w:rPr>
        <w:t>adverse events</w:t>
      </w:r>
      <w:r w:rsidRPr="002756EB">
        <w:rPr>
          <w:rFonts w:ascii="Arial" w:eastAsia="Times New Roman" w:hAnsi="Arial" w:cs="Arial"/>
        </w:rPr>
        <w:t xml:space="preserve"> are studied.</w:t>
      </w:r>
    </w:p>
    <w:p w14:paraId="34C99B45" w14:textId="77777777" w:rsidR="009663A4" w:rsidRPr="009663A4" w:rsidRDefault="009663A4" w:rsidP="009663A4">
      <w:pPr>
        <w:spacing w:after="0" w:line="240" w:lineRule="auto"/>
        <w:rPr>
          <w:rFonts w:ascii="Arial" w:eastAsia="Times New Roman" w:hAnsi="Arial" w:cs="Arial"/>
        </w:rPr>
      </w:pPr>
    </w:p>
    <w:p w14:paraId="355662E9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2/3</w:t>
      </w:r>
    </w:p>
    <w:p w14:paraId="4E1D4B00" w14:textId="77777777" w:rsidR="009663A4" w:rsidRP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9663A4">
        <w:rPr>
          <w:rFonts w:ascii="Arial" w:hAnsi="Arial" w:cs="Arial"/>
        </w:rPr>
        <w:t xml:space="preserve">A study that tests how well a new treatment works for a certain type of cancer or other disease and compares the new treatment with a standard treatment. Phase II/III clinical trials may also provide more </w:t>
      </w:r>
      <w:r w:rsidRPr="009663A4">
        <w:rPr>
          <w:rFonts w:ascii="Arial" w:hAnsi="Arial" w:cs="Arial"/>
        </w:rPr>
        <w:lastRenderedPageBreak/>
        <w:t>information about the safety and side effects of the new treatment. Combining phases II and III may allow research questions to be answered more quickly or with fewer patients.</w:t>
      </w:r>
    </w:p>
    <w:p w14:paraId="54D32E58" w14:textId="77777777" w:rsidR="009663A4" w:rsidRPr="002756EB" w:rsidRDefault="009663A4" w:rsidP="009663A4">
      <w:pPr>
        <w:spacing w:after="0" w:line="240" w:lineRule="auto"/>
        <w:rPr>
          <w:rFonts w:ascii="Arial" w:eastAsia="Times New Roman" w:hAnsi="Arial" w:cs="Arial"/>
        </w:rPr>
      </w:pPr>
    </w:p>
    <w:p w14:paraId="44A5BCA9" w14:textId="16ABBE6D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3</w:t>
      </w:r>
    </w:p>
    <w:p w14:paraId="25437F4E" w14:textId="77777777" w:rsid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A </w:t>
      </w:r>
      <w:r w:rsidRPr="009663A4">
        <w:rPr>
          <w:rFonts w:ascii="Arial" w:eastAsia="Times New Roman" w:hAnsi="Arial" w:cs="Arial"/>
        </w:rPr>
        <w:t>phase</w:t>
      </w:r>
      <w:r w:rsidRPr="002756EB">
        <w:rPr>
          <w:rFonts w:ascii="Arial" w:eastAsia="Times New Roman" w:hAnsi="Arial" w:cs="Arial"/>
        </w:rPr>
        <w:t xml:space="preserve"> of research to describe clinical trials that gather more information about a drug's safety and effectiveness by studying different populations and different dosages and by using the drug in combination with other drugs. These studies typically involve more participants.</w:t>
      </w:r>
    </w:p>
    <w:p w14:paraId="297799FF" w14:textId="77777777" w:rsid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6C5B8A20" w14:textId="77777777" w:rsidR="009663A4" w:rsidRPr="005D4DDB" w:rsidRDefault="009663A4" w:rsidP="009663A4">
      <w:pPr>
        <w:spacing w:after="0" w:line="240" w:lineRule="auto"/>
        <w:rPr>
          <w:rFonts w:ascii="Arial" w:hAnsi="Arial" w:cs="Arial"/>
        </w:rPr>
      </w:pPr>
      <w:r w:rsidRPr="005D4DDB">
        <w:rPr>
          <w:rStyle w:val="Strong"/>
          <w:rFonts w:ascii="Arial" w:hAnsi="Arial" w:cs="Arial"/>
        </w:rPr>
        <w:t>NIH-D</w:t>
      </w:r>
      <w:r w:rsidR="00A30E17" w:rsidRPr="005D4DDB">
        <w:rPr>
          <w:rStyle w:val="Strong"/>
          <w:rFonts w:ascii="Arial" w:hAnsi="Arial" w:cs="Arial"/>
        </w:rPr>
        <w:t>efined Phase III Clinical Trial</w:t>
      </w:r>
    </w:p>
    <w:p w14:paraId="0ECEDA33" w14:textId="77777777" w:rsidR="009663A4" w:rsidRP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9663A4">
        <w:rPr>
          <w:rFonts w:ascii="Arial" w:hAnsi="Arial" w:cs="Arial"/>
        </w:rPr>
        <w:t>An NIH-defined Phase III clinical trial is a broadly based prospective Phase III clinical investigation, usually involving several hundred or more human subjects, for the purpose of evaluating an experimental intervention in comparison with a standard or controlled intervention or comparing two or more existing treatments. Often the aim of such investigation is to provide evidence leading to a scientific basis for consideration of a change in health policy or standard of care. The definition includes pharmacologic, non-pharmacologic, and behavioral interventions given for disease prevention, prophylaxis, diagnosis, or therapy. Community trials and other population-based intervention trials are also included.</w:t>
      </w:r>
    </w:p>
    <w:p w14:paraId="309591A6" w14:textId="77777777" w:rsidR="009663A4" w:rsidRPr="002756EB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75014CD7" w14:textId="77777777" w:rsidR="009663A4" w:rsidRPr="005D4DDB" w:rsidRDefault="009663A4" w:rsidP="009663A4">
      <w:pPr>
        <w:spacing w:after="0" w:line="240" w:lineRule="auto"/>
        <w:rPr>
          <w:rFonts w:ascii="Arial" w:eastAsia="Times New Roman" w:hAnsi="Arial" w:cs="Arial"/>
          <w:b/>
        </w:rPr>
      </w:pPr>
      <w:r w:rsidRPr="005D4DDB">
        <w:rPr>
          <w:rFonts w:ascii="Arial" w:eastAsia="Times New Roman" w:hAnsi="Arial" w:cs="Arial"/>
          <w:b/>
        </w:rPr>
        <w:t>Phase 4</w:t>
      </w:r>
    </w:p>
    <w:p w14:paraId="4DEDD582" w14:textId="524DD707" w:rsidR="009663A4" w:rsidRDefault="009663A4" w:rsidP="009663A4">
      <w:pPr>
        <w:spacing w:after="0" w:line="240" w:lineRule="auto"/>
        <w:ind w:left="720"/>
        <w:rPr>
          <w:rFonts w:ascii="Arial" w:eastAsia="Times New Roman" w:hAnsi="Arial" w:cs="Arial"/>
        </w:rPr>
      </w:pPr>
      <w:r w:rsidRPr="002756EB">
        <w:rPr>
          <w:rFonts w:ascii="Arial" w:eastAsia="Times New Roman" w:hAnsi="Arial" w:cs="Arial"/>
        </w:rPr>
        <w:t xml:space="preserve">A </w:t>
      </w:r>
      <w:r w:rsidRPr="009663A4">
        <w:rPr>
          <w:rFonts w:ascii="Arial" w:eastAsia="Times New Roman" w:hAnsi="Arial" w:cs="Arial"/>
        </w:rPr>
        <w:t>phase</w:t>
      </w:r>
      <w:r w:rsidRPr="002756EB">
        <w:rPr>
          <w:rFonts w:ascii="Arial" w:eastAsia="Times New Roman" w:hAnsi="Arial" w:cs="Arial"/>
        </w:rPr>
        <w:t xml:space="preserve"> of research to describe clinical trials occurring after FDA has approved a drug for marketing. They include </w:t>
      </w:r>
      <w:proofErr w:type="spellStart"/>
      <w:r w:rsidRPr="002756EB">
        <w:rPr>
          <w:rFonts w:ascii="Arial" w:eastAsia="Times New Roman" w:hAnsi="Arial" w:cs="Arial"/>
        </w:rPr>
        <w:t>postmarket</w:t>
      </w:r>
      <w:proofErr w:type="spellEnd"/>
      <w:r w:rsidRPr="002756EB">
        <w:rPr>
          <w:rFonts w:ascii="Arial" w:eastAsia="Times New Roman" w:hAnsi="Arial" w:cs="Arial"/>
        </w:rPr>
        <w:t xml:space="preserve"> requirement and commitment studies that are required of or agreed to by the study sponsor. These trials gather additional information about a drug's safety, efficacy, or optimal use.</w:t>
      </w:r>
    </w:p>
    <w:p w14:paraId="0F3F17A4" w14:textId="027A97DE" w:rsidR="00316FD7" w:rsidRDefault="00316FD7" w:rsidP="009663A4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6ACBDEBC" w14:textId="77777777" w:rsidR="00316FD7" w:rsidRDefault="00316FD7" w:rsidP="00316FD7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N/A</w:t>
      </w:r>
    </w:p>
    <w:p w14:paraId="2A2CD14D" w14:textId="77777777" w:rsidR="00316FD7" w:rsidRPr="00B01DA5" w:rsidRDefault="00316FD7" w:rsidP="00316FD7">
      <w:pPr>
        <w:pStyle w:val="NoSpacing"/>
        <w:ind w:left="720"/>
        <w:rPr>
          <w:rFonts w:ascii="Arial" w:hAnsi="Arial" w:cs="Arial"/>
        </w:rPr>
      </w:pPr>
      <w:r w:rsidRPr="00B01DA5">
        <w:rPr>
          <w:rFonts w:ascii="Arial" w:hAnsi="Arial" w:cs="Arial"/>
        </w:rPr>
        <w:t xml:space="preserve">Trials without phases (for example, studies of devices or behavioral interventions). </w:t>
      </w:r>
    </w:p>
    <w:p w14:paraId="3420D659" w14:textId="77777777" w:rsidR="00316FD7" w:rsidRPr="009663A4" w:rsidRDefault="00316FD7" w:rsidP="009663A4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07F14B7" w14:textId="116D050B" w:rsidR="00141FD4" w:rsidRPr="00730729" w:rsidRDefault="00141FD4" w:rsidP="008D15E6">
      <w:pPr>
        <w:rPr>
          <w:rFonts w:ascii="Arial" w:hAnsi="Arial" w:cs="Arial"/>
        </w:rPr>
      </w:pPr>
    </w:p>
    <w:sectPr w:rsidR="00141FD4" w:rsidRPr="00730729" w:rsidSect="0017600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E1A35" w14:textId="77777777" w:rsidR="00F2275D" w:rsidRDefault="00F2275D" w:rsidP="00F85E88">
      <w:pPr>
        <w:spacing w:after="0" w:line="240" w:lineRule="auto"/>
      </w:pPr>
      <w:r>
        <w:separator/>
      </w:r>
    </w:p>
  </w:endnote>
  <w:endnote w:type="continuationSeparator" w:id="0">
    <w:p w14:paraId="19C3597B" w14:textId="77777777" w:rsidR="00F2275D" w:rsidRDefault="00F2275D" w:rsidP="00F8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A280C" w14:textId="77777777" w:rsidR="00F2275D" w:rsidRDefault="00F2275D" w:rsidP="00F85E88">
      <w:pPr>
        <w:spacing w:after="0" w:line="240" w:lineRule="auto"/>
      </w:pPr>
      <w:r>
        <w:separator/>
      </w:r>
    </w:p>
  </w:footnote>
  <w:footnote w:type="continuationSeparator" w:id="0">
    <w:p w14:paraId="4A49823E" w14:textId="77777777" w:rsidR="00F2275D" w:rsidRDefault="00F2275D" w:rsidP="00F8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395"/>
    <w:multiLevelType w:val="hybridMultilevel"/>
    <w:tmpl w:val="FFA2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B063BF"/>
    <w:multiLevelType w:val="hybridMultilevel"/>
    <w:tmpl w:val="C8D8C1EE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8357C2"/>
    <w:multiLevelType w:val="hybridMultilevel"/>
    <w:tmpl w:val="98FA2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E6DF8"/>
    <w:multiLevelType w:val="hybridMultilevel"/>
    <w:tmpl w:val="3D5A07B2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4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026DBA"/>
    <w:multiLevelType w:val="hybridMultilevel"/>
    <w:tmpl w:val="E9C2407C"/>
    <w:lvl w:ilvl="0" w:tplc="BE60E1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5A6"/>
    <w:multiLevelType w:val="hybridMultilevel"/>
    <w:tmpl w:val="852C7F18"/>
    <w:lvl w:ilvl="0" w:tplc="0E3A30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B0BAA"/>
    <w:multiLevelType w:val="hybridMultilevel"/>
    <w:tmpl w:val="5EAC4A7C"/>
    <w:lvl w:ilvl="0" w:tplc="F9F4C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720A20"/>
    <w:multiLevelType w:val="hybridMultilevel"/>
    <w:tmpl w:val="34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EF6032"/>
    <w:multiLevelType w:val="hybridMultilevel"/>
    <w:tmpl w:val="485A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ACC515A"/>
    <w:multiLevelType w:val="hybridMultilevel"/>
    <w:tmpl w:val="539C18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1E8F"/>
    <w:multiLevelType w:val="hybridMultilevel"/>
    <w:tmpl w:val="050630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D400A"/>
    <w:multiLevelType w:val="hybridMultilevel"/>
    <w:tmpl w:val="F9328A9C"/>
    <w:lvl w:ilvl="0" w:tplc="CCAA13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3588"/>
    <w:multiLevelType w:val="hybridMultilevel"/>
    <w:tmpl w:val="DB2CDBBA"/>
    <w:lvl w:ilvl="0" w:tplc="19B6D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146CEB"/>
    <w:multiLevelType w:val="hybridMultilevel"/>
    <w:tmpl w:val="D7741B2C"/>
    <w:lvl w:ilvl="0" w:tplc="8CA29A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4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24"/>
    <w:rsid w:val="000B781C"/>
    <w:rsid w:val="00121B17"/>
    <w:rsid w:val="00141FD4"/>
    <w:rsid w:val="00171D9D"/>
    <w:rsid w:val="0017600B"/>
    <w:rsid w:val="001C1C52"/>
    <w:rsid w:val="001D7F76"/>
    <w:rsid w:val="0026154B"/>
    <w:rsid w:val="0028316B"/>
    <w:rsid w:val="00316FD7"/>
    <w:rsid w:val="00341657"/>
    <w:rsid w:val="003464D7"/>
    <w:rsid w:val="00383619"/>
    <w:rsid w:val="00415C25"/>
    <w:rsid w:val="00423FB7"/>
    <w:rsid w:val="005D4DDB"/>
    <w:rsid w:val="006261D0"/>
    <w:rsid w:val="006A1C17"/>
    <w:rsid w:val="00730202"/>
    <w:rsid w:val="00730729"/>
    <w:rsid w:val="007617A3"/>
    <w:rsid w:val="00762EE5"/>
    <w:rsid w:val="007C590F"/>
    <w:rsid w:val="00823EC6"/>
    <w:rsid w:val="008517CB"/>
    <w:rsid w:val="00893FBB"/>
    <w:rsid w:val="008D15E6"/>
    <w:rsid w:val="009663A4"/>
    <w:rsid w:val="00A30E17"/>
    <w:rsid w:val="00A946A7"/>
    <w:rsid w:val="00AC22AC"/>
    <w:rsid w:val="00AC3998"/>
    <w:rsid w:val="00B01DA5"/>
    <w:rsid w:val="00BB1626"/>
    <w:rsid w:val="00BE6824"/>
    <w:rsid w:val="00D63A20"/>
    <w:rsid w:val="00DA61A7"/>
    <w:rsid w:val="00E33224"/>
    <w:rsid w:val="00E75E32"/>
    <w:rsid w:val="00F2275D"/>
    <w:rsid w:val="00F85E88"/>
    <w:rsid w:val="00FA6334"/>
    <w:rsid w:val="00FB0CB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F585"/>
  <w15:docId w15:val="{794E0B65-9337-40DD-B8E1-8DF1008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88"/>
  </w:style>
  <w:style w:type="paragraph" w:styleId="Footer">
    <w:name w:val="footer"/>
    <w:basedOn w:val="Normal"/>
    <w:link w:val="Foot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88"/>
  </w:style>
  <w:style w:type="character" w:customStyle="1" w:styleId="Heading2Char">
    <w:name w:val="Heading 2 Char"/>
    <w:basedOn w:val="DefaultParagraphFont"/>
    <w:link w:val="Heading2"/>
    <w:uiPriority w:val="9"/>
    <w:rsid w:val="00F8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66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A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A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663A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17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3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D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01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cer.gov/publications/dictionaries/cancer-terms?cdrid=458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inicaltrials.gov/ct2/about-studies/gloss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sinfo.clinicaltrials.gov/definition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cer.gov/publications/dictionaries/cancer-terms?cdrid=45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nicaltrials.gov/ct2/about-studies/glossary" TargetMode="External"/><Relationship Id="rId14" Type="http://schemas.openxmlformats.org/officeDocument/2006/relationships/hyperlink" Target="https://prsinfo.clinicaltrials.gov/defin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A007-0EED-4855-9361-7D0F056C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Alice</dc:creator>
  <cp:lastModifiedBy>Sohaib Kazmi</cp:lastModifiedBy>
  <cp:revision>3</cp:revision>
  <dcterms:created xsi:type="dcterms:W3CDTF">2020-05-05T21:54:00Z</dcterms:created>
  <dcterms:modified xsi:type="dcterms:W3CDTF">2020-05-05T21:54:00Z</dcterms:modified>
</cp:coreProperties>
</file>